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bookmarkStart w:id="0" w:name="_Toc26893"/>
      <w:bookmarkStart w:id="1" w:name="_Toc27262"/>
      <w:bookmarkStart w:id="2" w:name="_Toc4784"/>
      <w:bookmarkStart w:id="3" w:name="_Toc23836"/>
      <w:bookmarkStart w:id="4" w:name="_Toc28400"/>
      <w:bookmarkStart w:id="5" w:name="_Toc27900"/>
      <w:r>
        <w:rPr>
          <w:rFonts w:hint="eastAsia" w:ascii="宋体" w:hAnsi="宋体" w:eastAsia="宋体" w:cs="宋体"/>
          <w:b w:val="0"/>
          <w:bCs w:val="0"/>
          <w:color w:val="auto"/>
          <w:sz w:val="36"/>
          <w:szCs w:val="36"/>
          <w:highlight w:val="none"/>
          <w:lang w:eastAsia="zh-CN" w:bidi="en-US"/>
        </w:rPr>
        <w:t>北京市丰台区蒲黄榆一里、四里危改项目FT00-0506-0017地块R2二类居住用地</w:t>
      </w:r>
    </w:p>
    <w:p>
      <w:pPr>
        <w:pStyle w:val="3"/>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6" w:name="_Toc5629"/>
      <w:r>
        <w:rPr>
          <w:rFonts w:hint="eastAsia" w:ascii="宋体" w:hAnsi="宋体" w:eastAsia="宋体" w:cs="宋体"/>
          <w:b w:val="0"/>
          <w:bCs w:val="0"/>
          <w:color w:val="auto"/>
          <w:sz w:val="36"/>
          <w:szCs w:val="36"/>
          <w:highlight w:val="none"/>
          <w:lang w:bidi="en-US"/>
        </w:rPr>
        <w:t>国有建设用地使用权</w:t>
      </w:r>
      <w:bookmarkStart w:id="7" w:name="_Toc41366787"/>
      <w:bookmarkStart w:id="8" w:name="_Toc41366853"/>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层，公开挂牌出让北京市丰台区蒲黄榆一里、四里危改项目FT00-0506-0017地块R2二类居住用地国有建设用地使用权。北</w:t>
      </w:r>
      <w:r>
        <w:rPr>
          <w:rFonts w:ascii="Times New Roman" w:hAnsi="Times New Roman" w:eastAsia="仿宋_GB2312" w:cs="Times New Roman"/>
          <w:color w:val="auto"/>
          <w:sz w:val="28"/>
          <w:highlight w:val="none"/>
        </w:rPr>
        <w:t>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本次挂牌出让宗地位于丰台区东铁匠营街道蒲黄榆地区。四至范围详见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（京规自（丰）供审函[2026]0004号及其附图</w:t>
      </w:r>
      <w:r>
        <w:rPr>
          <w:rFonts w:hint="eastAsia" w:eastAsia="仿宋_GB2312" w:cs="Times New Roman"/>
          <w:color w:val="auto"/>
          <w:sz w:val="28"/>
          <w:highlight w:val="none"/>
          <w:lang w:eastAsia="zh-CN"/>
        </w:rPr>
        <w:t>、《街坊路设置有关事宜的补充说明》</w:t>
      </w:r>
      <w:r>
        <w:rPr>
          <w:rFonts w:hint="default" w:ascii="Times New Roman" w:hAnsi="Times New Roman" w:eastAsia="仿宋_GB2312" w:cs="Times New Roman"/>
          <w:color w:val="auto"/>
          <w:sz w:val="28"/>
          <w:highlight w:val="none"/>
          <w:lang w:eastAsia="zh-CN"/>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eastAsia="仿宋_GB2312" w:cs="Times New Roman"/>
          <w:color w:val="auto"/>
          <w:sz w:val="28"/>
          <w:szCs w:val="28"/>
          <w:highlight w:val="none"/>
          <w:lang w:eastAsia="zh-CN"/>
        </w:rPr>
        <w:t>七</w:t>
      </w:r>
      <w:r>
        <w:rPr>
          <w:rFonts w:hint="eastAsia"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cs="Times New Roman"/>
                <w:color w:val="auto"/>
                <w:spacing w:val="0"/>
                <w:sz w:val="24"/>
                <w:highlight w:val="none"/>
                <w:lang w:val="en-US" w:eastAsia="zh-CN"/>
              </w:rPr>
              <w:t>丰</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w:t>
            </w:r>
            <w:r>
              <w:rPr>
                <w:rFonts w:hint="default" w:ascii="Times New Roman" w:hAnsi="Times New Roman" w:cs="Times New Roman"/>
                <w:color w:val="auto"/>
                <w:spacing w:val="0"/>
                <w:sz w:val="24"/>
                <w:highlight w:val="none"/>
                <w:lang w:val="en-US" w:eastAsia="zh-CN"/>
              </w:rPr>
              <w:t>6</w:t>
            </w:r>
            <w:r>
              <w:rPr>
                <w:rFonts w:hint="eastAsia" w:ascii="Times New Roman" w:hAnsi="Times New Roman" w:eastAsia="仿宋_GB2312" w:cs="Times New Roman"/>
                <w:color w:val="auto"/>
                <w:spacing w:val="0"/>
                <w:sz w:val="24"/>
                <w:highlight w:val="none"/>
                <w:lang w:val="en-US" w:eastAsia="zh-CN"/>
              </w:rPr>
              <w:t>]</w:t>
            </w:r>
            <w:r>
              <w:rPr>
                <w:rFonts w:hint="default" w:ascii="Times New Roman" w:hAnsi="Times New Roman" w:cs="Times New Roman"/>
                <w:color w:val="auto"/>
                <w:spacing w:val="0"/>
                <w:sz w:val="24"/>
                <w:highlight w:val="none"/>
                <w:lang w:val="en-US" w:eastAsia="zh-CN"/>
              </w:rPr>
              <w:t>018</w:t>
            </w:r>
            <w:r>
              <w:rPr>
                <w:rFonts w:hint="default" w:ascii="Times New Roman" w:hAnsi="Times New Roman" w:eastAsia="仿宋_GB2312" w:cs="Times New Roman"/>
                <w:color w:val="auto"/>
                <w:spacing w:val="0"/>
                <w:sz w:val="24"/>
                <w:highlight w:val="none"/>
                <w:lang w:val="en-US" w:eastAsia="zh-CN"/>
              </w:rPr>
              <w:t>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R2二类居住用地</w:t>
            </w:r>
            <w:r>
              <w:rPr>
                <w:rFonts w:hint="eastAsia" w:ascii="Times New Roman" w:hAnsi="Times New Roman" w:cs="Times New Roman"/>
                <w:color w:val="auto"/>
                <w:spacing w:val="0"/>
                <w:sz w:val="24"/>
                <w:highlight w:val="none"/>
                <w:lang w:val="en-US" w:eastAsia="zh-CN"/>
              </w:rPr>
              <w:t>（</w:t>
            </w:r>
            <w:r>
              <w:rPr>
                <w:rFonts w:hint="default" w:ascii="Times New Roman" w:hAnsi="Times New Roman" w:cs="Times New Roman"/>
                <w:color w:val="auto"/>
                <w:spacing w:val="0"/>
                <w:sz w:val="24"/>
                <w:highlight w:val="none"/>
                <w:lang w:val="en-US" w:eastAsia="zh-CN"/>
              </w:rPr>
              <w:t>070102</w:t>
            </w:r>
            <w:r>
              <w:rPr>
                <w:rFonts w:hint="eastAsia" w:ascii="Times New Roman" w:hAnsi="Times New Roman" w:cs="Times New Roman"/>
                <w:color w:val="auto"/>
                <w:spacing w:val="0"/>
                <w:sz w:val="24"/>
                <w:highlight w:val="none"/>
                <w:lang w:val="en-US" w:eastAsia="zh-CN"/>
              </w:rPr>
              <w:t>二类城镇住宅用地）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9820.167</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19837</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cs="Times New Roman"/>
          <w:color w:val="auto"/>
          <w:sz w:val="28"/>
          <w:highlight w:val="none"/>
          <w:lang w:val="en-US"/>
        </w:rPr>
        <w:t>90000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default" w:ascii="Times New Roman" w:cs="Times New Roman"/>
          <w:color w:val="auto"/>
          <w:sz w:val="28"/>
          <w:highlight w:val="none"/>
          <w:lang w:val="en-US"/>
        </w:rPr>
        <w:t>90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eastAsia" w:ascii="Times New Roman" w:hAnsi="Times New Roman" w:cs="Times New Roman"/>
          <w:color w:val="auto"/>
          <w:sz w:val="28"/>
          <w:highlight w:val="none"/>
        </w:rPr>
        <w:t>18000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rPr>
        <w:t>4</w:t>
      </w:r>
      <w:r>
        <w:rPr>
          <w:rFonts w:hint="default" w:ascii="Times New Roman" w:cs="Times New Roman"/>
          <w:color w:val="auto"/>
          <w:sz w:val="28"/>
          <w:highlight w:val="none"/>
          <w:lang w:val="en-US" w:eastAsia="zh-CN"/>
        </w:rPr>
        <w:t>月21</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5月25日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5月12日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5月26日</w:t>
      </w:r>
      <w:r>
        <w:rPr>
          <w:rFonts w:hint="default" w:ascii="Times New Roman" w:hAnsi="Times New Roman" w:cs="Times New Roman"/>
          <w:color w:val="auto"/>
          <w:sz w:val="28"/>
          <w:highlight w:val="none"/>
        </w:rPr>
        <w:t>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w:t>
      </w:r>
      <w:r>
        <w:rPr>
          <w:rFonts w:hint="default" w:ascii="Times New Roman" w:cs="Times New Roman"/>
          <w:color w:val="auto"/>
          <w:kern w:val="2"/>
          <w:sz w:val="28"/>
          <w:szCs w:val="24"/>
          <w:highlight w:val="none"/>
          <w:lang w:val="en-US" w:eastAsia="zh-CN" w:bidi="ar-SA"/>
        </w:rPr>
        <w:t>6</w:t>
      </w:r>
      <w:r>
        <w:rPr>
          <w:rFonts w:hint="eastAsia" w:ascii="Times New Roman" w:hAnsi="Times New Roman" w:cs="Times New Roman"/>
          <w:color w:val="auto"/>
          <w:kern w:val="2"/>
          <w:sz w:val="28"/>
          <w:szCs w:val="24"/>
          <w:highlight w:val="none"/>
          <w:lang w:val="en-US" w:eastAsia="zh-CN" w:bidi="ar-SA"/>
        </w:rPr>
        <w:t>年</w:t>
      </w:r>
      <w:r>
        <w:rPr>
          <w:rFonts w:hint="default" w:ascii="Times New Roman" w:cs="Times New Roman"/>
          <w:color w:val="auto"/>
          <w:kern w:val="2"/>
          <w:sz w:val="28"/>
          <w:szCs w:val="24"/>
          <w:highlight w:val="none"/>
          <w:lang w:val="en-US" w:eastAsia="zh-CN" w:bidi="ar-SA"/>
        </w:rPr>
        <w:t>4</w:t>
      </w:r>
      <w:r>
        <w:rPr>
          <w:rFonts w:hint="default" w:ascii="Times New Roman" w:cs="Times New Roman"/>
          <w:color w:val="auto"/>
          <w:sz w:val="28"/>
          <w:highlight w:val="none"/>
          <w:lang w:val="en-US" w:eastAsia="zh-CN"/>
        </w:rPr>
        <w:t>月21</w:t>
      </w:r>
      <w:r>
        <w:rPr>
          <w:rFonts w:hint="eastAsia" w:ascii="Times New Roman" w:cs="Times New Roman"/>
          <w:color w:val="auto"/>
          <w:sz w:val="28"/>
          <w:highlight w:val="none"/>
          <w:lang w:val="en-US" w:eastAsia="zh-CN"/>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4</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21</w:t>
      </w:r>
      <w:r>
        <w:rPr>
          <w:rFonts w:hint="eastAsia"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sz w:val="28"/>
          <w:highlight w:val="none"/>
          <w:lang w:val="en-US" w:eastAsia="zh-CN"/>
        </w:rPr>
        <w:t>5</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25</w:t>
      </w:r>
      <w:r>
        <w:rPr>
          <w:rFonts w:hint="default"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w:t>
      </w:r>
      <w:r>
        <w:rPr>
          <w:rFonts w:hint="default" w:eastAsia="仿宋_GB2312" w:cs="Times New Roman"/>
          <w:color w:val="auto"/>
          <w:sz w:val="28"/>
          <w:highlight w:val="none"/>
          <w:lang w:val="en-US" w:eastAsia="zh-CN"/>
        </w:rPr>
        <w:t>0</w:t>
      </w:r>
      <w:r>
        <w:rPr>
          <w:rFonts w:hint="default" w:ascii="Times New Roman" w:hAnsi="Times New Roman" w:eastAsia="仿宋_GB2312" w:cs="Times New Roman"/>
          <w:color w:val="auto"/>
          <w:sz w:val="28"/>
          <w:highlight w:val="none"/>
          <w:lang w:val="en-US" w:eastAsia="zh-CN"/>
        </w:rPr>
        <w:t>、555951</w:t>
      </w:r>
      <w:r>
        <w:rPr>
          <w:rFonts w:hint="default" w:eastAsia="仿宋_GB2312" w:cs="Times New Roman"/>
          <w:color w:val="auto"/>
          <w:sz w:val="28"/>
          <w:highlight w:val="none"/>
          <w:lang w:val="en-US" w:eastAsia="zh-CN"/>
        </w:rPr>
        <w:t>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w:t>
      </w:r>
      <w:r>
        <w:rPr>
          <w:rFonts w:hint="eastAsia" w:eastAsia="仿宋_GB2312" w:cs="Times New Roman"/>
          <w:color w:val="auto"/>
          <w:sz w:val="28"/>
          <w:highlight w:val="none"/>
          <w:lang w:val="en-US" w:eastAsia="zh-CN"/>
        </w:rPr>
        <w:t>丰台</w:t>
      </w:r>
      <w:r>
        <w:rPr>
          <w:rFonts w:hint="eastAsia" w:ascii="Times New Roman" w:hAnsi="Times New Roman" w:eastAsia="仿宋_GB2312" w:cs="Times New Roman"/>
          <w:color w:val="auto"/>
          <w:sz w:val="28"/>
          <w:highlight w:val="none"/>
          <w:lang w:val="en-US" w:eastAsia="zh-CN"/>
        </w:rPr>
        <w:t>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kern w:val="2"/>
          <w:sz w:val="28"/>
          <w:highlight w:val="none"/>
          <w:lang w:val="en-US" w:eastAsia="zh-CN" w:bidi="ar-SA"/>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4</w:t>
      </w:r>
      <w:r>
        <w:rPr>
          <w:rFonts w:hint="eastAsia"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21</w:t>
      </w:r>
      <w:r>
        <w:rPr>
          <w:rFonts w:hint="eastAsia" w:ascii="Times New Roman" w:hAnsi="Times New Roman" w:eastAsia="仿宋_GB2312" w:cs="Times New Roman"/>
          <w:color w:val="auto"/>
          <w:kern w:val="2"/>
          <w:sz w:val="28"/>
          <w:highlight w:val="none"/>
          <w:lang w:val="en-US" w:eastAsia="zh-CN" w:bidi="ar-SA"/>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0670B"/>
    <w:rsid w:val="5E80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qFormat/>
    <w:uiPriority w:val="0"/>
    <w:pPr>
      <w:spacing w:after="120"/>
    </w:pPr>
  </w:style>
  <w:style w:type="paragraph" w:styleId="5">
    <w:name w:val="Body Text Indent"/>
    <w:basedOn w:val="1"/>
    <w:qFormat/>
    <w:uiPriority w:val="0"/>
    <w:pPr>
      <w:ind w:firstLine="7" w:firstLineChars="3"/>
    </w:pPr>
    <w:rPr>
      <w:rFonts w:ascii="仿宋_GB2312" w:eastAsia="仿宋_GB2312"/>
      <w:sz w:val="24"/>
    </w:rPr>
  </w:style>
  <w:style w:type="paragraph" w:styleId="6">
    <w:name w:val="Body Text Indent 3"/>
    <w:basedOn w:val="1"/>
    <w:qFormat/>
    <w:uiPriority w:val="0"/>
    <w:pPr>
      <w:ind w:firstLine="480" w:firstLineChars="200"/>
    </w:pPr>
    <w:rPr>
      <w:rFonts w:ascii="仿宋_GB2312" w:hAnsi="宋体"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2026-04-21T07:37:00Z</dcterms:created>
  <dc:creator>张茜</dc:creator>
  <cp:lastModifiedBy>张茜</cp:lastModifiedBy>
  <dcterms:modified xsi:type="dcterms:W3CDTF">2026-04-21T07:37:40Z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5722E10722CA44A183E47CA905B96092</vt:lpwstr>
  </property>
</Properties>
</file>